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9F66" w14:textId="6200DED9" w:rsidR="00C01C94" w:rsidRPr="00C01C94" w:rsidRDefault="00907636" w:rsidP="00C01C94">
      <w:pPr>
        <w:spacing w:after="160" w:line="360" w:lineRule="auto"/>
        <w:jc w:val="center"/>
        <w:rPr>
          <w:b/>
          <w:sz w:val="28"/>
          <w:szCs w:val="28"/>
        </w:rPr>
      </w:pPr>
      <w:bookmarkStart w:id="0" w:name="_Hlk221134074"/>
      <w:r w:rsidRPr="00C01C94">
        <w:rPr>
          <w:b/>
          <w:sz w:val="28"/>
          <w:szCs w:val="28"/>
        </w:rPr>
        <w:t>IRCE 202</w:t>
      </w:r>
      <w:r w:rsidR="00B16063" w:rsidRPr="00C01C94">
        <w:rPr>
          <w:b/>
          <w:sz w:val="28"/>
          <w:szCs w:val="28"/>
        </w:rPr>
        <w:t xml:space="preserve">6 </w:t>
      </w:r>
      <w:r w:rsidR="003F02F0" w:rsidRPr="00C01C94">
        <w:rPr>
          <w:b/>
          <w:sz w:val="28"/>
          <w:szCs w:val="28"/>
        </w:rPr>
        <w:t>Department of Education and Faculty of Graduate Studies, University of Jaffna, Sri Lanka</w:t>
      </w:r>
    </w:p>
    <w:bookmarkEnd w:id="0"/>
    <w:p w14:paraId="15F6F5C9" w14:textId="73E7BD09" w:rsidR="00952DCD" w:rsidRDefault="00952DCD" w:rsidP="006E1D18">
      <w:pPr>
        <w:spacing w:after="0" w:line="240" w:lineRule="auto"/>
        <w:jc w:val="center"/>
        <w:rPr>
          <w:b/>
          <w:vertAlign w:val="superscript"/>
        </w:rPr>
      </w:pPr>
      <w:r w:rsidRPr="006E1D18">
        <w:rPr>
          <w:b/>
        </w:rPr>
        <w:t>K. Kumaran¹</w:t>
      </w:r>
      <w:r w:rsidR="00C01C94" w:rsidRPr="006E1D18">
        <w:rPr>
          <w:b/>
        </w:rPr>
        <w:t>*</w:t>
      </w:r>
      <w:r w:rsidRPr="006E1D18">
        <w:rPr>
          <w:b/>
        </w:rPr>
        <w:t>, A. B. Perera</w:t>
      </w:r>
      <w:r w:rsidRPr="006E1D18">
        <w:rPr>
          <w:b/>
          <w:vertAlign w:val="superscript"/>
        </w:rPr>
        <w:t>2</w:t>
      </w:r>
      <w:r w:rsidRPr="006E1D18">
        <w:rPr>
          <w:b/>
        </w:rPr>
        <w:t>, and M. L. N. Charles</w:t>
      </w:r>
      <w:r w:rsidRPr="006E1D18">
        <w:rPr>
          <w:b/>
          <w:vertAlign w:val="superscript"/>
        </w:rPr>
        <w:t>3</w:t>
      </w:r>
    </w:p>
    <w:p w14:paraId="1C4BEB3F" w14:textId="0D51C390" w:rsidR="006E1D18" w:rsidRDefault="006E1D18" w:rsidP="006E1D18">
      <w:pPr>
        <w:spacing w:after="0" w:line="240" w:lineRule="auto"/>
        <w:jc w:val="center"/>
        <w:rPr>
          <w:i/>
          <w:iCs/>
        </w:rPr>
      </w:pPr>
      <w:r>
        <w:rPr>
          <w:b/>
          <w:vertAlign w:val="superscript"/>
        </w:rPr>
        <w:t>1,2</w:t>
      </w:r>
      <w:r w:rsidRPr="00BE2BB1">
        <w:rPr>
          <w:i/>
          <w:iCs/>
        </w:rPr>
        <w:t>Department of Education, Faculty of Arts, University of Jaffna, Sri Lanka</w:t>
      </w:r>
    </w:p>
    <w:p w14:paraId="14C83100" w14:textId="009688FD" w:rsidR="006E1D18" w:rsidRPr="006E1D18" w:rsidRDefault="006E1D18" w:rsidP="006E1D18">
      <w:pPr>
        <w:spacing w:after="0" w:line="240" w:lineRule="auto"/>
        <w:jc w:val="center"/>
        <w:rPr>
          <w:b/>
          <w:sz w:val="28"/>
          <w:szCs w:val="28"/>
        </w:rPr>
      </w:pPr>
      <w:r w:rsidRPr="006E1D18">
        <w:rPr>
          <w:i/>
          <w:iCs/>
          <w:vertAlign w:val="superscript"/>
        </w:rPr>
        <w:t>3</w:t>
      </w:r>
      <w:r>
        <w:rPr>
          <w:i/>
          <w:iCs/>
        </w:rPr>
        <w:t xml:space="preserve">Faculty of Graduate Studies, </w:t>
      </w:r>
      <w:r w:rsidRPr="00BE2BB1">
        <w:rPr>
          <w:i/>
          <w:iCs/>
        </w:rPr>
        <w:t>University of Jaffna, Sri Lanka</w:t>
      </w:r>
    </w:p>
    <w:p w14:paraId="38FB63EF" w14:textId="3A7E8A10" w:rsidR="00952DCD" w:rsidRDefault="00952DCD" w:rsidP="00B16063">
      <w:pPr>
        <w:spacing w:after="160" w:line="360" w:lineRule="auto"/>
      </w:pPr>
    </w:p>
    <w:p w14:paraId="2383597D" w14:textId="60B1F5F1" w:rsidR="006C7547" w:rsidRPr="006C7547" w:rsidRDefault="006C7547" w:rsidP="006C7547">
      <w:pPr>
        <w:spacing w:after="160" w:line="360" w:lineRule="auto"/>
        <w:rPr>
          <w:b/>
        </w:rPr>
      </w:pPr>
      <w:r w:rsidRPr="006C7547">
        <w:rPr>
          <w:b/>
        </w:rPr>
        <w:t>Abstract</w:t>
      </w:r>
    </w:p>
    <w:p w14:paraId="0EB84F73" w14:textId="4FC08070" w:rsidR="006C7547" w:rsidRDefault="006C7547" w:rsidP="006C7547">
      <w:pPr>
        <w:spacing w:after="160" w:line="24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  <w:r w:rsidR="00C470A7" w:rsidRPr="006C7547">
        <w:t>IRCE 2026 Department of Education</w:t>
      </w:r>
      <w:r w:rsidR="00C470A7">
        <w:t>, Faculty of Arts,</w:t>
      </w:r>
      <w:r w:rsidR="00C470A7" w:rsidRPr="006C7547">
        <w:t xml:space="preserve"> and Faculty of Graduate Studies, University of Jaffna, Sri Lanka. </w:t>
      </w:r>
    </w:p>
    <w:p w14:paraId="46159ACA" w14:textId="757FF28D" w:rsidR="00335083" w:rsidRDefault="00907636" w:rsidP="00C470A7">
      <w:pPr>
        <w:spacing w:after="160" w:line="240" w:lineRule="auto"/>
      </w:pPr>
      <w:r w:rsidRPr="00C470A7">
        <w:rPr>
          <w:b/>
        </w:rPr>
        <w:t>Keywords</w:t>
      </w:r>
      <w:r>
        <w:t xml:space="preserve">: </w:t>
      </w:r>
      <w:r w:rsidR="00C470A7">
        <w:t xml:space="preserve">Conference, </w:t>
      </w:r>
      <w:r w:rsidR="00C470A7" w:rsidRPr="006C7547">
        <w:t>Department of Education</w:t>
      </w:r>
      <w:r w:rsidR="00C470A7">
        <w:t>, Faculty of Arts,</w:t>
      </w:r>
      <w:r w:rsidR="00C470A7" w:rsidRPr="006C7547">
        <w:t xml:space="preserve"> Faculty of Graduate Studies, University of Jaffna</w:t>
      </w:r>
      <w:r>
        <w:br/>
      </w:r>
    </w:p>
    <w:p w14:paraId="45E02228" w14:textId="4DFB046C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14:paraId="3209751E" w14:textId="77777777" w:rsidR="000049AC" w:rsidRDefault="00AF7964" w:rsidP="00BB58CF">
      <w:pPr>
        <w:spacing w:after="160" w:line="360" w:lineRule="auto"/>
        <w:ind w:firstLine="720"/>
        <w:jc w:val="both"/>
        <w:sectPr w:rsidR="000049AC" w:rsidSect="005908EB">
          <w:footerReference w:type="default" r:id="rId8"/>
          <w:pgSz w:w="11906" w:h="16838" w:code="9"/>
          <w:pgMar w:top="1440" w:right="1440" w:bottom="1440" w:left="2160" w:header="720" w:footer="720" w:gutter="0"/>
          <w:pgNumType w:start="1"/>
          <w:cols w:space="720"/>
          <w:docGrid w:linePitch="360"/>
        </w:sectPr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</w:t>
      </w:r>
    </w:p>
    <w:p w14:paraId="039F8B43" w14:textId="2FDED984" w:rsidR="00AF7964" w:rsidRDefault="00AF7964" w:rsidP="00BB58CF">
      <w:pPr>
        <w:spacing w:after="160" w:line="360" w:lineRule="auto"/>
        <w:ind w:firstLine="720"/>
        <w:jc w:val="both"/>
      </w:pPr>
      <w:r w:rsidRPr="006C7547">
        <w:lastRenderedPageBreak/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1AAE2DFB" w14:textId="5A54AB88" w:rsidR="00AF7964" w:rsidRDefault="00AF7964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28B2C27" w14:textId="2F1606E8" w:rsidR="00335083" w:rsidRDefault="00AF7964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</w:t>
      </w:r>
      <w:r w:rsidRPr="006C7547">
        <w:lastRenderedPageBreak/>
        <w:t>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FDEFED5" w14:textId="08650F11" w:rsidR="003F02F0" w:rsidRPr="00182091" w:rsidRDefault="003F02F0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Aim and Objectives</w:t>
      </w:r>
    </w:p>
    <w:p w14:paraId="3FB74511" w14:textId="77777777" w:rsidR="00195B25" w:rsidRDefault="00195B25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6D83A640" w14:textId="0604D5A5" w:rsidR="00A90FCA" w:rsidRDefault="00195B25" w:rsidP="00A60A36">
      <w:pPr>
        <w:pStyle w:val="ListParagraph"/>
        <w:numPr>
          <w:ilvl w:val="0"/>
          <w:numId w:val="10"/>
        </w:numPr>
        <w:spacing w:after="160" w:line="36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64791AC6" w14:textId="3328BE3F" w:rsidR="00195B25" w:rsidRDefault="00195B25" w:rsidP="00A60A36">
      <w:pPr>
        <w:pStyle w:val="ListParagraph"/>
        <w:numPr>
          <w:ilvl w:val="0"/>
          <w:numId w:val="10"/>
        </w:numPr>
        <w:spacing w:after="160" w:line="36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3F325C77" w14:textId="2A74C934" w:rsidR="00A60A36" w:rsidRPr="00A60A36" w:rsidRDefault="00A90FCA" w:rsidP="00A60A36">
      <w:pPr>
        <w:pStyle w:val="ListParagraph"/>
        <w:numPr>
          <w:ilvl w:val="0"/>
          <w:numId w:val="10"/>
        </w:numPr>
        <w:spacing w:after="160" w:line="36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E42E586" w14:textId="77932C6D" w:rsidR="003F02F0" w:rsidRPr="00182091" w:rsidRDefault="003F02F0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Questions</w:t>
      </w:r>
    </w:p>
    <w:p w14:paraId="4F3EDC29" w14:textId="77777777" w:rsidR="00A60A36" w:rsidRDefault="00A60A36" w:rsidP="00A60A36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3990ECD5" w14:textId="77777777" w:rsidR="00A60A36" w:rsidRDefault="00A60A36" w:rsidP="00A60A36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6C7547">
        <w:lastRenderedPageBreak/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07DA7C5A" w14:textId="77777777" w:rsidR="00A60A36" w:rsidRPr="00A60A36" w:rsidRDefault="00A60A36" w:rsidP="00A60A36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7029A2EA" w14:textId="37BE872F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Literature Review</w:t>
      </w:r>
      <w:r w:rsidR="00AF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874D90" w14:textId="4F2C6ED8" w:rsidR="00A60A36" w:rsidRDefault="00A60A36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</w:t>
      </w:r>
      <w:r w:rsidR="00126483">
        <w:t xml:space="preserve"> </w:t>
      </w:r>
      <w:r w:rsidR="00126483" w:rsidRPr="00126483">
        <w:rPr>
          <w:rFonts w:cs="Times New Roman"/>
        </w:rPr>
        <w:t>(Adzharuddin, 2013)</w:t>
      </w:r>
      <w:r w:rsidR="00126483">
        <w:t>.</w:t>
      </w:r>
      <w:r w:rsidRPr="006C7547">
        <w:t xml:space="preserve">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76A540BD" w14:textId="3CB17E8F" w:rsidR="006904F5" w:rsidRPr="006904F5" w:rsidRDefault="006904F5" w:rsidP="006904F5">
      <w:pPr>
        <w:spacing w:after="160" w:line="360" w:lineRule="auto"/>
        <w:rPr>
          <w:b/>
          <w:i/>
        </w:rPr>
      </w:pPr>
      <w:r w:rsidRPr="006904F5">
        <w:rPr>
          <w:b/>
          <w:i/>
        </w:rPr>
        <w:t xml:space="preserve">IRCE 2026 </w:t>
      </w:r>
    </w:p>
    <w:p w14:paraId="249D3219" w14:textId="77F7854D" w:rsidR="00A60A36" w:rsidRDefault="00A60A36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</w:t>
      </w:r>
      <w:r w:rsidR="00126483" w:rsidRPr="00126483">
        <w:rPr>
          <w:rFonts w:cs="Times New Roman"/>
        </w:rPr>
        <w:t>(Ahn &amp; Huh, 2023)</w:t>
      </w:r>
      <w:r w:rsidRPr="006C7547">
        <w:t>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</w:t>
      </w:r>
      <w:r w:rsidRPr="006C7547">
        <w:lastRenderedPageBreak/>
        <w:t>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6DC1DD0C" w14:textId="2C117781" w:rsidR="006904F5" w:rsidRPr="006904F5" w:rsidRDefault="006904F5" w:rsidP="00A60A36">
      <w:pPr>
        <w:spacing w:after="160" w:line="360" w:lineRule="auto"/>
        <w:jc w:val="both"/>
        <w:rPr>
          <w:b/>
          <w:i/>
        </w:rPr>
      </w:pPr>
      <w:r w:rsidRPr="006904F5">
        <w:rPr>
          <w:b/>
          <w:i/>
        </w:rPr>
        <w:t>Faculty of Arts</w:t>
      </w:r>
    </w:p>
    <w:p w14:paraId="3D97A267" w14:textId="366D9710" w:rsidR="00A60A36" w:rsidRDefault="00A60A36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</w:t>
      </w:r>
      <w:r w:rsidR="00126483">
        <w:t xml:space="preserve"> </w:t>
      </w:r>
      <w:r w:rsidR="00126483" w:rsidRPr="00126483">
        <w:rPr>
          <w:rFonts w:cs="Times New Roman"/>
        </w:rPr>
        <w:t>(Harisanty et al., 2025)</w:t>
      </w:r>
      <w:r w:rsidRPr="006C7547">
        <w:t>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254921EC" w14:textId="7A0C98F3" w:rsidR="006904F5" w:rsidRPr="006904F5" w:rsidRDefault="006904F5" w:rsidP="006904F5">
      <w:pPr>
        <w:spacing w:after="160" w:line="360" w:lineRule="auto"/>
        <w:ind w:left="720"/>
        <w:jc w:val="both"/>
        <w:rPr>
          <w:b/>
          <w:i/>
        </w:rPr>
      </w:pPr>
      <w:r w:rsidRPr="006904F5">
        <w:rPr>
          <w:b/>
          <w:i/>
        </w:rPr>
        <w:t>Department of Education</w:t>
      </w:r>
    </w:p>
    <w:p w14:paraId="7D3E2188" w14:textId="5545C4B5" w:rsidR="00A60A36" w:rsidRDefault="00A60A36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</w:t>
      </w:r>
      <w:r w:rsidRPr="006C7547">
        <w:lastRenderedPageBreak/>
        <w:t>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70983203" w14:textId="70C8385E" w:rsidR="00C455DD" w:rsidRPr="00C455DD" w:rsidRDefault="00C455DD" w:rsidP="00C455DD">
      <w:pPr>
        <w:spacing w:after="160" w:line="360" w:lineRule="auto"/>
        <w:ind w:left="720"/>
        <w:jc w:val="both"/>
        <w:rPr>
          <w:b/>
          <w:i/>
        </w:rPr>
      </w:pPr>
      <w:r w:rsidRPr="00C455DD">
        <w:rPr>
          <w:b/>
          <w:i/>
        </w:rPr>
        <w:t>Author Guidelines</w:t>
      </w:r>
      <w:r>
        <w:rPr>
          <w:b/>
          <w:i/>
        </w:rPr>
        <w:t>.</w:t>
      </w:r>
    </w:p>
    <w:p w14:paraId="4497AD82" w14:textId="77777777" w:rsidR="00A60A36" w:rsidRDefault="00A60A36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 xml:space="preserve">, Faculty </w:t>
      </w:r>
      <w:r>
        <w:lastRenderedPageBreak/>
        <w:t>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8CE6EC7" w14:textId="39745194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Methodology</w:t>
      </w:r>
    </w:p>
    <w:p w14:paraId="0FD6D1AD" w14:textId="11E41CEF" w:rsidR="00605AFF" w:rsidRDefault="00605AFF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38FD5EE" w14:textId="77777777" w:rsidR="008323DD" w:rsidRPr="008323DD" w:rsidRDefault="008323DD" w:rsidP="008323DD">
      <w:pPr>
        <w:pStyle w:val="Heading2"/>
        <w:spacing w:before="0"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DD">
        <w:rPr>
          <w:rFonts w:ascii="Times New Roman" w:hAnsi="Times New Roman" w:cs="Times New Roman"/>
          <w:color w:val="000000" w:themeColor="text1"/>
          <w:sz w:val="24"/>
          <w:szCs w:val="24"/>
        </w:rPr>
        <w:t>Table 1</w:t>
      </w:r>
    </w:p>
    <w:p w14:paraId="000EE5AE" w14:textId="4B1965AE" w:rsidR="008323DD" w:rsidRPr="008323DD" w:rsidRDefault="008323DD" w:rsidP="008323DD">
      <w:pPr>
        <w:pStyle w:val="Heading2"/>
        <w:spacing w:before="0" w:after="160" w:line="360" w:lineRule="auto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Add the Title of the Table Here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6"/>
        <w:gridCol w:w="2766"/>
        <w:gridCol w:w="2764"/>
      </w:tblGrid>
      <w:tr w:rsidR="008323DD" w:rsidRPr="00A962DB" w14:paraId="560EDADE" w14:textId="77777777" w:rsidTr="00907636">
        <w:tc>
          <w:tcPr>
            <w:tcW w:w="166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8DEBFF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Variable 1</w:t>
            </w:r>
          </w:p>
        </w:tc>
        <w:tc>
          <w:tcPr>
            <w:tcW w:w="166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A380CA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Variable 2</w:t>
            </w:r>
          </w:p>
        </w:tc>
        <w:tc>
          <w:tcPr>
            <w:tcW w:w="166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907CC2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Variable 3</w:t>
            </w:r>
          </w:p>
        </w:tc>
      </w:tr>
      <w:tr w:rsidR="008323DD" w:rsidRPr="00A962DB" w14:paraId="062AFFD1" w14:textId="77777777" w:rsidTr="00907636">
        <w:tc>
          <w:tcPr>
            <w:tcW w:w="1667" w:type="pct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2EF5FED" w14:textId="77777777" w:rsidR="008323DD" w:rsidRPr="00A962DB" w:rsidRDefault="008323DD" w:rsidP="00907636">
            <w:pPr>
              <w:spacing w:after="160" w:line="360" w:lineRule="auto"/>
              <w:rPr>
                <w:sz w:val="22"/>
              </w:rPr>
            </w:pPr>
            <w:r w:rsidRPr="00A962DB">
              <w:rPr>
                <w:sz w:val="22"/>
              </w:rPr>
              <w:t>Data 1,1</w:t>
            </w:r>
          </w:p>
        </w:tc>
        <w:tc>
          <w:tcPr>
            <w:tcW w:w="1667" w:type="pct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43FC272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1,2</w:t>
            </w:r>
          </w:p>
        </w:tc>
        <w:tc>
          <w:tcPr>
            <w:tcW w:w="1667" w:type="pct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D133D7F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1,3</w:t>
            </w:r>
          </w:p>
        </w:tc>
      </w:tr>
      <w:tr w:rsidR="008323DD" w:rsidRPr="00A962DB" w14:paraId="6B8580D1" w14:textId="77777777" w:rsidTr="00907636"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AA49DC3" w14:textId="77777777" w:rsidR="008323DD" w:rsidRPr="00A962DB" w:rsidRDefault="008323DD" w:rsidP="00907636">
            <w:pPr>
              <w:spacing w:after="160" w:line="360" w:lineRule="auto"/>
              <w:rPr>
                <w:sz w:val="22"/>
              </w:rPr>
            </w:pPr>
            <w:r w:rsidRPr="00A962DB">
              <w:rPr>
                <w:sz w:val="22"/>
              </w:rPr>
              <w:t>Data 2,1</w:t>
            </w:r>
          </w:p>
        </w:tc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58451B74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2,2</w:t>
            </w:r>
          </w:p>
        </w:tc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E3B1445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2,3</w:t>
            </w:r>
          </w:p>
        </w:tc>
      </w:tr>
      <w:tr w:rsidR="008323DD" w:rsidRPr="00A962DB" w14:paraId="7E19C5F0" w14:textId="77777777" w:rsidTr="00907636"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ABC589" w14:textId="77777777" w:rsidR="008323DD" w:rsidRPr="00A962DB" w:rsidRDefault="008323DD" w:rsidP="00907636">
            <w:pPr>
              <w:spacing w:after="160" w:line="360" w:lineRule="auto"/>
              <w:rPr>
                <w:sz w:val="22"/>
              </w:rPr>
            </w:pPr>
            <w:r w:rsidRPr="00A962DB">
              <w:rPr>
                <w:sz w:val="22"/>
              </w:rPr>
              <w:t>Data 3,1</w:t>
            </w:r>
          </w:p>
        </w:tc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C62377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3,2</w:t>
            </w:r>
          </w:p>
        </w:tc>
        <w:tc>
          <w:tcPr>
            <w:tcW w:w="1667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B4819" w14:textId="77777777" w:rsidR="008323DD" w:rsidRPr="00A962DB" w:rsidRDefault="008323DD" w:rsidP="00907636">
            <w:pPr>
              <w:spacing w:after="160"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Data 3,3</w:t>
            </w:r>
          </w:p>
        </w:tc>
      </w:tr>
    </w:tbl>
    <w:p w14:paraId="1BA8AFDB" w14:textId="77777777" w:rsidR="008323DD" w:rsidRDefault="008323DD" w:rsidP="00605AFF">
      <w:pPr>
        <w:spacing w:after="160" w:line="360" w:lineRule="auto"/>
        <w:jc w:val="both"/>
      </w:pPr>
    </w:p>
    <w:p w14:paraId="3621306C" w14:textId="0BACD5A8" w:rsidR="00605AFF" w:rsidRDefault="00B2512D" w:rsidP="00BB58CF">
      <w:pPr>
        <w:spacing w:after="160" w:line="360" w:lineRule="auto"/>
        <w:ind w:firstLine="720"/>
        <w:jc w:val="both"/>
      </w:pPr>
      <w:r>
        <w:t xml:space="preserve">Table 1 shows </w:t>
      </w:r>
      <w:r w:rsidR="00605AFF" w:rsidRPr="006C7547">
        <w:t>IRCE 2026 Department of Education</w:t>
      </w:r>
      <w:r w:rsidR="00605AFF">
        <w:t>, Faculty of Arts,</w:t>
      </w:r>
      <w:r w:rsidR="00605AFF" w:rsidRPr="006C7547">
        <w:t xml:space="preserve"> and Faculty of Graduate Studies, University of Jaffna, Sri Lanka. IRCE 2026 Department of Education</w:t>
      </w:r>
      <w:r w:rsidR="00605AFF">
        <w:t>, Faculty of Arts,</w:t>
      </w:r>
      <w:r w:rsidR="00605AFF" w:rsidRPr="006C7547">
        <w:t xml:space="preserve"> and Faculty of Graduate Studies, University of Jaffna, </w:t>
      </w:r>
      <w:r w:rsidR="00605AFF" w:rsidRPr="006C7547">
        <w:lastRenderedPageBreak/>
        <w:t>Sri Lanka. IRCE 2026 Department of Education</w:t>
      </w:r>
      <w:r w:rsidR="00605AFF">
        <w:t>, Faculty of Arts,</w:t>
      </w:r>
      <w:r w:rsidR="00605AFF" w:rsidRPr="006C7547">
        <w:t xml:space="preserve"> and Faculty of Graduate Studies, University of Jaffna, Sri Lanka. IRCE 2026 Department of Education</w:t>
      </w:r>
      <w:r w:rsidR="00605AFF">
        <w:t>, Faculty of Arts,</w:t>
      </w:r>
      <w:r w:rsidR="00605AFF" w:rsidRPr="006C7547">
        <w:t xml:space="preserve"> and Faculty of Graduate Studies, University of Jaffna, Sri Lanka. IRCE 2026 Department of Education</w:t>
      </w:r>
      <w:r w:rsidR="00605AFF">
        <w:t>, Faculty of Arts,</w:t>
      </w:r>
      <w:r w:rsidR="00605AFF" w:rsidRPr="006C7547">
        <w:t xml:space="preserve"> and Faculty of Graduate Studies, University of Jaffna, Sri Lanka. </w:t>
      </w:r>
      <w:r w:rsidR="000049AC" w:rsidRPr="006C7547">
        <w:t>IRCE 2026 Department of Education</w:t>
      </w:r>
      <w:r w:rsidR="000049AC">
        <w:t>, Faculty of Arts,</w:t>
      </w:r>
      <w:r w:rsidR="000049AC" w:rsidRPr="006C7547">
        <w:t xml:space="preserve"> and Faculty of Graduate Studies, University of Jaffna, Sri Lanka. IRCE 2026 Department of Education</w:t>
      </w:r>
      <w:r w:rsidR="000049AC">
        <w:t>, Faculty of Arts,</w:t>
      </w:r>
      <w:r w:rsidR="000049AC" w:rsidRPr="006C7547">
        <w:t xml:space="preserve"> and Faculty of Graduate Studies, University of Jaffna, Sri Lanka. IRCE 2026 Department of Education</w:t>
      </w:r>
      <w:r w:rsidR="000049AC">
        <w:t>, Faculty of Arts,</w:t>
      </w:r>
      <w:r w:rsidR="000049AC" w:rsidRPr="006C7547">
        <w:t xml:space="preserve"> and Faculty of Graduate Studies, University of Jaffna, Sri Lanka. IRCE 2026 Department of Education</w:t>
      </w:r>
      <w:r w:rsidR="000049AC">
        <w:t>, Faculty of Arts,</w:t>
      </w:r>
      <w:r w:rsidR="000049AC" w:rsidRPr="006C7547">
        <w:t xml:space="preserve"> and Faculty of Graduate Studies, University of Jaffna, Sri Lanka. IRCE 2026 Department of Education</w:t>
      </w:r>
      <w:r w:rsidR="000049AC">
        <w:t>, Faculty of Arts,</w:t>
      </w:r>
      <w:r w:rsidR="000049AC" w:rsidRPr="006C7547">
        <w:t xml:space="preserve"> and Faculty of Graduate Studies, University of Jaffna, Sri Lanka. </w:t>
      </w:r>
    </w:p>
    <w:p w14:paraId="491F06FB" w14:textId="77777777" w:rsidR="00351581" w:rsidRDefault="00351581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324B6811" w14:textId="77777777" w:rsidR="00605AFF" w:rsidRDefault="00605AFF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</w:t>
      </w:r>
      <w:r w:rsidRPr="006C7547">
        <w:lastRenderedPageBreak/>
        <w:t>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702E7D7F" w14:textId="114C4D61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r w:rsidR="003F02F0"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Discussion</w:t>
      </w:r>
    </w:p>
    <w:p w14:paraId="79F74164" w14:textId="126205C9" w:rsidR="00FE5B39" w:rsidRDefault="00E65E8C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</w:t>
      </w:r>
      <w:r w:rsidR="00907636">
        <w:t>, as shown in Table 2</w:t>
      </w:r>
      <w:r w:rsidRPr="006C7547">
        <w:t xml:space="preserve">. </w:t>
      </w:r>
    </w:p>
    <w:p w14:paraId="0A560C6B" w14:textId="77777777" w:rsidR="00FE5B39" w:rsidRPr="00FE5B39" w:rsidRDefault="00FE5B39" w:rsidP="00FE5B39">
      <w:pPr>
        <w:pStyle w:val="Heading2"/>
        <w:spacing w:before="0"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B39">
        <w:rPr>
          <w:rFonts w:ascii="Times New Roman" w:hAnsi="Times New Roman" w:cs="Times New Roman"/>
          <w:color w:val="000000" w:themeColor="text1"/>
          <w:sz w:val="24"/>
          <w:szCs w:val="24"/>
        </w:rPr>
        <w:t>Table 2</w:t>
      </w:r>
    </w:p>
    <w:p w14:paraId="22271487" w14:textId="77777777" w:rsidR="00FE5B39" w:rsidRPr="00FE5B39" w:rsidRDefault="00FE5B39" w:rsidP="00FE5B39">
      <w:pPr>
        <w:pStyle w:val="Heading2"/>
        <w:spacing w:before="0" w:after="160" w:line="360" w:lineRule="auto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 w:rsidRPr="00FE5B39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Distribution of Sample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1652"/>
        <w:gridCol w:w="1634"/>
        <w:gridCol w:w="1663"/>
        <w:gridCol w:w="1636"/>
      </w:tblGrid>
      <w:tr w:rsidR="00FE5B39" w:rsidRPr="00A962DB" w14:paraId="40CDDAF3" w14:textId="77777777" w:rsidTr="00907636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504B4699" w14:textId="77777777" w:rsidR="00FE5B39" w:rsidRPr="00A962DB" w:rsidRDefault="00FE5B39" w:rsidP="000049AC">
            <w:pPr>
              <w:spacing w:line="360" w:lineRule="auto"/>
              <w:rPr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2E04753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11D4300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Male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AA0169C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Female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A90670A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Total</w:t>
            </w:r>
          </w:p>
        </w:tc>
      </w:tr>
      <w:tr w:rsidR="00FE5B39" w:rsidRPr="00A962DB" w14:paraId="6ABBB666" w14:textId="77777777" w:rsidTr="00907636">
        <w:tc>
          <w:tcPr>
            <w:tcW w:w="18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45580D5" w14:textId="77777777" w:rsidR="00FE5B39" w:rsidRPr="00A962DB" w:rsidRDefault="00FE5B39" w:rsidP="000049AC">
            <w:pPr>
              <w:spacing w:line="360" w:lineRule="auto"/>
              <w:rPr>
                <w:sz w:val="22"/>
              </w:rPr>
            </w:pPr>
            <w:r w:rsidRPr="00A962DB">
              <w:rPr>
                <w:sz w:val="22"/>
              </w:rPr>
              <w:t>Programme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4F3C3C13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PGDE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54D996CB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24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3A7AC72F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35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13381CF6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59</w:t>
            </w:r>
          </w:p>
        </w:tc>
      </w:tr>
      <w:tr w:rsidR="00FE5B39" w:rsidRPr="00A962DB" w14:paraId="04D76C0F" w14:textId="77777777" w:rsidTr="00907636">
        <w:tc>
          <w:tcPr>
            <w:tcW w:w="18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514743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4F27B7DF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MED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41C5BA62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78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598C094F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85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6C4DEF04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163</w:t>
            </w:r>
          </w:p>
        </w:tc>
      </w:tr>
      <w:tr w:rsidR="00FE5B39" w:rsidRPr="00A962DB" w14:paraId="702D6652" w14:textId="77777777" w:rsidTr="00907636">
        <w:tc>
          <w:tcPr>
            <w:tcW w:w="1804" w:type="dxa"/>
            <w:vMerge w:val="restart"/>
            <w:tcBorders>
              <w:top w:val="single" w:sz="4" w:space="0" w:color="auto"/>
            </w:tcBorders>
            <w:vAlign w:val="center"/>
          </w:tcPr>
          <w:p w14:paraId="57593BD0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Type of School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5587587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1AB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7DA18325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20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3831311B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25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5235ACA7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45</w:t>
            </w:r>
          </w:p>
        </w:tc>
      </w:tr>
      <w:tr w:rsidR="00FE5B39" w:rsidRPr="00A962DB" w14:paraId="2536BC6B" w14:textId="77777777" w:rsidTr="00907636">
        <w:tc>
          <w:tcPr>
            <w:tcW w:w="1804" w:type="dxa"/>
            <w:vMerge/>
          </w:tcPr>
          <w:p w14:paraId="18BB47F6" w14:textId="77777777" w:rsidR="00FE5B39" w:rsidRPr="00A962DB" w:rsidRDefault="00FE5B39" w:rsidP="000049AC">
            <w:pPr>
              <w:spacing w:line="360" w:lineRule="auto"/>
              <w:rPr>
                <w:sz w:val="22"/>
              </w:rPr>
            </w:pPr>
          </w:p>
        </w:tc>
        <w:tc>
          <w:tcPr>
            <w:tcW w:w="1803" w:type="dxa"/>
          </w:tcPr>
          <w:p w14:paraId="63C458B2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1C</w:t>
            </w:r>
          </w:p>
        </w:tc>
        <w:tc>
          <w:tcPr>
            <w:tcW w:w="1803" w:type="dxa"/>
          </w:tcPr>
          <w:p w14:paraId="7E8B8492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25</w:t>
            </w:r>
          </w:p>
        </w:tc>
        <w:tc>
          <w:tcPr>
            <w:tcW w:w="1803" w:type="dxa"/>
          </w:tcPr>
          <w:p w14:paraId="4969C20F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30</w:t>
            </w:r>
          </w:p>
        </w:tc>
        <w:tc>
          <w:tcPr>
            <w:tcW w:w="1803" w:type="dxa"/>
          </w:tcPr>
          <w:p w14:paraId="79469E60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55</w:t>
            </w:r>
          </w:p>
        </w:tc>
      </w:tr>
      <w:tr w:rsidR="00FE5B39" w:rsidRPr="00A962DB" w14:paraId="090A96E9" w14:textId="77777777" w:rsidTr="00907636">
        <w:tc>
          <w:tcPr>
            <w:tcW w:w="1804" w:type="dxa"/>
            <w:vMerge/>
          </w:tcPr>
          <w:p w14:paraId="3FE70BF2" w14:textId="77777777" w:rsidR="00FE5B39" w:rsidRPr="00A962DB" w:rsidRDefault="00FE5B39" w:rsidP="000049AC">
            <w:pPr>
              <w:spacing w:line="360" w:lineRule="auto"/>
              <w:rPr>
                <w:sz w:val="22"/>
              </w:rPr>
            </w:pPr>
          </w:p>
        </w:tc>
        <w:tc>
          <w:tcPr>
            <w:tcW w:w="1803" w:type="dxa"/>
          </w:tcPr>
          <w:p w14:paraId="1DC209CC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Type 2</w:t>
            </w:r>
          </w:p>
        </w:tc>
        <w:tc>
          <w:tcPr>
            <w:tcW w:w="1803" w:type="dxa"/>
          </w:tcPr>
          <w:p w14:paraId="37FEAA81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30</w:t>
            </w:r>
          </w:p>
        </w:tc>
        <w:tc>
          <w:tcPr>
            <w:tcW w:w="1803" w:type="dxa"/>
          </w:tcPr>
          <w:p w14:paraId="3FDFF712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27</w:t>
            </w:r>
          </w:p>
        </w:tc>
        <w:tc>
          <w:tcPr>
            <w:tcW w:w="1803" w:type="dxa"/>
          </w:tcPr>
          <w:p w14:paraId="0E165013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57</w:t>
            </w:r>
          </w:p>
        </w:tc>
      </w:tr>
      <w:tr w:rsidR="00FE5B39" w:rsidRPr="00A962DB" w14:paraId="1E655272" w14:textId="77777777" w:rsidTr="00907636">
        <w:trPr>
          <w:trHeight w:val="58"/>
        </w:trPr>
        <w:tc>
          <w:tcPr>
            <w:tcW w:w="1804" w:type="dxa"/>
            <w:vMerge/>
          </w:tcPr>
          <w:p w14:paraId="764C3059" w14:textId="77777777" w:rsidR="00FE5B39" w:rsidRPr="00A962DB" w:rsidRDefault="00FE5B39" w:rsidP="000049AC">
            <w:pPr>
              <w:spacing w:line="360" w:lineRule="auto"/>
              <w:rPr>
                <w:sz w:val="22"/>
              </w:rPr>
            </w:pPr>
          </w:p>
        </w:tc>
        <w:tc>
          <w:tcPr>
            <w:tcW w:w="1803" w:type="dxa"/>
          </w:tcPr>
          <w:p w14:paraId="63E7C004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Type 3</w:t>
            </w:r>
          </w:p>
        </w:tc>
        <w:tc>
          <w:tcPr>
            <w:tcW w:w="1803" w:type="dxa"/>
          </w:tcPr>
          <w:p w14:paraId="4CBE32B1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27</w:t>
            </w:r>
          </w:p>
        </w:tc>
        <w:tc>
          <w:tcPr>
            <w:tcW w:w="1803" w:type="dxa"/>
          </w:tcPr>
          <w:p w14:paraId="37AB96F4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38</w:t>
            </w:r>
          </w:p>
        </w:tc>
        <w:tc>
          <w:tcPr>
            <w:tcW w:w="1803" w:type="dxa"/>
          </w:tcPr>
          <w:p w14:paraId="4CCAE2A3" w14:textId="77777777" w:rsidR="00FE5B39" w:rsidRPr="00A962DB" w:rsidRDefault="00FE5B39" w:rsidP="000049AC">
            <w:pPr>
              <w:spacing w:line="360" w:lineRule="auto"/>
              <w:jc w:val="center"/>
              <w:rPr>
                <w:sz w:val="22"/>
              </w:rPr>
            </w:pPr>
            <w:r w:rsidRPr="00A962DB">
              <w:rPr>
                <w:sz w:val="22"/>
              </w:rPr>
              <w:t>65</w:t>
            </w:r>
          </w:p>
        </w:tc>
      </w:tr>
    </w:tbl>
    <w:p w14:paraId="3018A0FA" w14:textId="77777777" w:rsidR="00FE5B39" w:rsidRDefault="00FE5B39" w:rsidP="00FE5B39"/>
    <w:p w14:paraId="11153CBF" w14:textId="5584A272" w:rsidR="000049AC" w:rsidRDefault="00E65E8C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</w:t>
      </w:r>
      <w:r w:rsidRPr="006C7547">
        <w:lastRenderedPageBreak/>
        <w:t>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5C58D29E" w14:textId="5694E41E" w:rsidR="000049AC" w:rsidRDefault="000049AC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288153E2" w14:textId="7848FF74" w:rsidR="00907636" w:rsidRPr="00907636" w:rsidRDefault="00907636" w:rsidP="000049AC">
      <w:pPr>
        <w:pStyle w:val="Heading2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="000049AC" w:rsidRPr="000049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047BC2BC" w14:textId="77777777" w:rsidR="00907636" w:rsidRPr="00907636" w:rsidRDefault="00907636" w:rsidP="000049AC">
      <w:pPr>
        <w:pStyle w:val="Heading2"/>
        <w:spacing w:before="0" w:after="160"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 w:rsidRPr="0090763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Number of Students Based on Stream and Gender</w:t>
      </w:r>
    </w:p>
    <w:p w14:paraId="1AEA55EB" w14:textId="77777777" w:rsidR="00907636" w:rsidRPr="00EB0BF7" w:rsidRDefault="00907636" w:rsidP="007F1CE1">
      <w:r>
        <w:rPr>
          <w:noProof/>
        </w:rPr>
        <w:drawing>
          <wp:inline distT="0" distB="0" distL="0" distR="0" wp14:anchorId="25ABE9F8" wp14:editId="4F3B8A06">
            <wp:extent cx="4572000" cy="2743200"/>
            <wp:effectExtent l="0" t="0" r="0" b="0"/>
            <wp:docPr id="252208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2E2F20-EF27-007A-32EA-4DD5FEBE09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EEC943" w14:textId="77777777" w:rsidR="00907636" w:rsidRDefault="00907636" w:rsidP="006C2284">
      <w:pPr>
        <w:spacing w:after="160" w:line="360" w:lineRule="auto"/>
        <w:jc w:val="both"/>
      </w:pPr>
      <w:r w:rsidRPr="002E7404">
        <w:rPr>
          <w:i/>
          <w:iCs/>
        </w:rPr>
        <w:t>Note.</w:t>
      </w:r>
      <w:r w:rsidRPr="002E7404">
        <w:t xml:space="preserve"> Distribution of Grade 12 (blue) and Grade 13 (orange) students across Bio Science and Physical Science streams, categorized by gender. Total values represent the </w:t>
      </w:r>
      <w:r>
        <w:t>sum of the student counts</w:t>
      </w:r>
      <w:r w:rsidRPr="002E7404">
        <w:t xml:space="preserve"> for each demographic.</w:t>
      </w:r>
    </w:p>
    <w:p w14:paraId="59816C69" w14:textId="08A51AA8" w:rsidR="00E65E8C" w:rsidRDefault="000049AC" w:rsidP="00BB58CF">
      <w:pPr>
        <w:spacing w:after="160" w:line="360" w:lineRule="auto"/>
        <w:ind w:firstLine="720"/>
        <w:jc w:val="both"/>
      </w:pPr>
      <w:r w:rsidRPr="00907636">
        <w:rPr>
          <w:rFonts w:cs="Times New Roman"/>
          <w:color w:val="000000" w:themeColor="text1"/>
          <w:szCs w:val="24"/>
        </w:rPr>
        <w:t xml:space="preserve">Figure </w:t>
      </w:r>
      <w:r>
        <w:rPr>
          <w:rFonts w:cs="Times New Roman"/>
          <w:color w:val="000000" w:themeColor="text1"/>
          <w:szCs w:val="24"/>
        </w:rPr>
        <w:t>1 shows the I</w:t>
      </w:r>
      <w:r w:rsidR="00E65E8C" w:rsidRPr="006C7547">
        <w:t>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</w:t>
      </w:r>
      <w:r w:rsidR="00E65E8C" w:rsidRPr="006C7547">
        <w:lastRenderedPageBreak/>
        <w:t>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</w:t>
      </w:r>
    </w:p>
    <w:p w14:paraId="298EC711" w14:textId="77777777" w:rsidR="00531C92" w:rsidRPr="007D4D80" w:rsidRDefault="00531C92" w:rsidP="007D4D80">
      <w:pPr>
        <w:pStyle w:val="Heading2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D80">
        <w:rPr>
          <w:rFonts w:ascii="Times New Roman" w:hAnsi="Times New Roman" w:cs="Times New Roman"/>
          <w:color w:val="000000" w:themeColor="text1"/>
          <w:sz w:val="24"/>
          <w:szCs w:val="24"/>
        </w:rPr>
        <w:t>Table 3</w:t>
      </w:r>
    </w:p>
    <w:p w14:paraId="65779A9C" w14:textId="77777777" w:rsidR="00531C92" w:rsidRPr="007D4D80" w:rsidRDefault="00531C92" w:rsidP="00531C92">
      <w:pPr>
        <w:spacing w:line="360" w:lineRule="auto"/>
        <w:jc w:val="both"/>
        <w:rPr>
          <w:rFonts w:eastAsiaTheme="majorEastAsia" w:cs="Times New Roman"/>
          <w:i/>
          <w:iCs/>
          <w:color w:val="000000" w:themeColor="text1"/>
          <w:szCs w:val="24"/>
        </w:rPr>
      </w:pPr>
      <w:r w:rsidRPr="007D4D80">
        <w:rPr>
          <w:rFonts w:eastAsiaTheme="majorEastAsia" w:cs="Times New Roman"/>
          <w:i/>
          <w:iCs/>
          <w:color w:val="000000" w:themeColor="text1"/>
          <w:szCs w:val="24"/>
        </w:rPr>
        <w:t xml:space="preserve">Impact of Gender on Teachers’ Interest in Doing Research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223"/>
        <w:gridCol w:w="695"/>
        <w:gridCol w:w="697"/>
        <w:gridCol w:w="458"/>
        <w:gridCol w:w="735"/>
        <w:gridCol w:w="662"/>
        <w:gridCol w:w="957"/>
        <w:gridCol w:w="957"/>
        <w:gridCol w:w="735"/>
        <w:gridCol w:w="727"/>
      </w:tblGrid>
      <w:tr w:rsidR="00531C92" w:rsidRPr="00ED1606" w14:paraId="63E8E3A2" w14:textId="77777777" w:rsidTr="001E5753">
        <w:trPr>
          <w:cantSplit/>
        </w:trPr>
        <w:tc>
          <w:tcPr>
            <w:tcW w:w="1008" w:type="pct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38733ECB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383CCFB5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Levene's Test for Equality of Variances</w:t>
            </w:r>
          </w:p>
        </w:tc>
        <w:tc>
          <w:tcPr>
            <w:tcW w:w="3153" w:type="pct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0FF9240E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t-test for Equality of Means</w:t>
            </w:r>
          </w:p>
        </w:tc>
      </w:tr>
      <w:tr w:rsidR="00531C92" w:rsidRPr="00ED1606" w14:paraId="0728B100" w14:textId="77777777" w:rsidTr="00ED1606">
        <w:trPr>
          <w:cantSplit/>
        </w:trPr>
        <w:tc>
          <w:tcPr>
            <w:tcW w:w="1008" w:type="pct"/>
            <w:gridSpan w:val="2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7871A0AE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3A2E2374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F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1712F6E1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Sig.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4D95D221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07AB2544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df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4BC15D0C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Sig. (2-tailed)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541B69CD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Mean Difference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3AB6D283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Std. Error Difference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2B6BACB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95% Confidence Interval of the Difference</w:t>
            </w:r>
          </w:p>
        </w:tc>
      </w:tr>
      <w:tr w:rsidR="00531C92" w:rsidRPr="00ED1606" w14:paraId="6C0D2652" w14:textId="77777777" w:rsidTr="001E5753">
        <w:trPr>
          <w:cantSplit/>
        </w:trPr>
        <w:tc>
          <w:tcPr>
            <w:tcW w:w="1008" w:type="pct"/>
            <w:gridSpan w:val="2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3F1B09C4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0B5289F6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7883491A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5F986720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74B91A0D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7C296658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5B484776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7EEA5FB1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006603BD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Lower</w:t>
            </w:r>
          </w:p>
        </w:tc>
        <w:tc>
          <w:tcPr>
            <w:tcW w:w="438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64AA15A4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Upper</w:t>
            </w:r>
          </w:p>
        </w:tc>
      </w:tr>
      <w:tr w:rsidR="00531C92" w:rsidRPr="00ED1606" w14:paraId="70FCDEF1" w14:textId="77777777" w:rsidTr="001E5753">
        <w:trPr>
          <w:cantSplit/>
        </w:trPr>
        <w:tc>
          <w:tcPr>
            <w:tcW w:w="271" w:type="pct"/>
            <w:vMerge w:val="restart"/>
            <w:tcBorders>
              <w:top w:val="single" w:sz="8" w:space="0" w:color="152935"/>
              <w:left w:val="single" w:sz="4" w:space="0" w:color="FFFFFF"/>
              <w:bottom w:val="single" w:sz="8" w:space="0" w:color="152935"/>
              <w:right w:val="single" w:sz="4" w:space="0" w:color="FFFFFF"/>
            </w:tcBorders>
          </w:tcPr>
          <w:p w14:paraId="4F83F5AC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737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74B841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Equal variances assumed</w:t>
            </w:r>
          </w:p>
        </w:tc>
        <w:tc>
          <w:tcPr>
            <w:tcW w:w="419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CD5740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.085</w:t>
            </w:r>
          </w:p>
        </w:tc>
        <w:tc>
          <w:tcPr>
            <w:tcW w:w="420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991096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.770</w:t>
            </w:r>
          </w:p>
        </w:tc>
        <w:tc>
          <w:tcPr>
            <w:tcW w:w="276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71E1845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-.627</w:t>
            </w:r>
          </w:p>
        </w:tc>
        <w:tc>
          <w:tcPr>
            <w:tcW w:w="443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895D75F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368</w:t>
            </w:r>
          </w:p>
        </w:tc>
        <w:tc>
          <w:tcPr>
            <w:tcW w:w="399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7743C37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.531</w:t>
            </w:r>
          </w:p>
        </w:tc>
        <w:tc>
          <w:tcPr>
            <w:tcW w:w="577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36E89E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-1.15</w:t>
            </w:r>
          </w:p>
        </w:tc>
        <w:tc>
          <w:tcPr>
            <w:tcW w:w="577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86B8AF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1.84</w:t>
            </w:r>
          </w:p>
        </w:tc>
        <w:tc>
          <w:tcPr>
            <w:tcW w:w="443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567EFC2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-4.77</w:t>
            </w:r>
          </w:p>
        </w:tc>
        <w:tc>
          <w:tcPr>
            <w:tcW w:w="438" w:type="pct"/>
            <w:tcBorders>
              <w:top w:val="single" w:sz="8" w:space="0" w:color="15293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F65D72E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2.47</w:t>
            </w:r>
          </w:p>
        </w:tc>
      </w:tr>
      <w:tr w:rsidR="00531C92" w:rsidRPr="00ED1606" w14:paraId="08F7954B" w14:textId="77777777" w:rsidTr="001E5753">
        <w:trPr>
          <w:cantSplit/>
        </w:trPr>
        <w:tc>
          <w:tcPr>
            <w:tcW w:w="271" w:type="pct"/>
            <w:vMerge/>
            <w:tcBorders>
              <w:top w:val="single" w:sz="8" w:space="0" w:color="152935"/>
              <w:left w:val="single" w:sz="4" w:space="0" w:color="FFFFFF"/>
              <w:bottom w:val="single" w:sz="8" w:space="0" w:color="152935"/>
              <w:right w:val="single" w:sz="4" w:space="0" w:color="FFFFFF"/>
            </w:tcBorders>
          </w:tcPr>
          <w:p w14:paraId="3001BE96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</w:tcPr>
          <w:p w14:paraId="4DF93DDC" w14:textId="77777777" w:rsidR="00531C92" w:rsidRPr="00ED1606" w:rsidRDefault="00531C92" w:rsidP="001E5753">
            <w:pPr>
              <w:spacing w:line="192" w:lineRule="auto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Equal variances not assumed</w:t>
            </w:r>
          </w:p>
        </w:tc>
        <w:tc>
          <w:tcPr>
            <w:tcW w:w="419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6DC6F1B1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04330C2A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35665A49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-.628</w:t>
            </w:r>
          </w:p>
        </w:tc>
        <w:tc>
          <w:tcPr>
            <w:tcW w:w="443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32A270BF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220.63</w:t>
            </w:r>
          </w:p>
        </w:tc>
        <w:tc>
          <w:tcPr>
            <w:tcW w:w="399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1CCC1B24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.531</w:t>
            </w:r>
          </w:p>
        </w:tc>
        <w:tc>
          <w:tcPr>
            <w:tcW w:w="577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5D3A000E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-1.15</w:t>
            </w:r>
          </w:p>
        </w:tc>
        <w:tc>
          <w:tcPr>
            <w:tcW w:w="577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1520F9F9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1.84</w:t>
            </w:r>
          </w:p>
        </w:tc>
        <w:tc>
          <w:tcPr>
            <w:tcW w:w="443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2D22739D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-4.77</w:t>
            </w:r>
          </w:p>
        </w:tc>
        <w:tc>
          <w:tcPr>
            <w:tcW w:w="438" w:type="pct"/>
            <w:tcBorders>
              <w:top w:val="single" w:sz="4" w:space="0" w:color="FFFFFF"/>
              <w:left w:val="single" w:sz="4" w:space="0" w:color="FFFFFF"/>
              <w:bottom w:val="single" w:sz="8" w:space="0" w:color="152935"/>
              <w:right w:val="single" w:sz="4" w:space="0" w:color="FFFFFF"/>
            </w:tcBorders>
            <w:shd w:val="clear" w:color="auto" w:fill="FFFFFF"/>
            <w:vAlign w:val="center"/>
          </w:tcPr>
          <w:p w14:paraId="1DBA23AE" w14:textId="77777777" w:rsidR="00531C92" w:rsidRPr="00ED1606" w:rsidRDefault="00531C92" w:rsidP="001E5753">
            <w:pPr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D1606">
              <w:rPr>
                <w:rFonts w:cs="Times New Roman"/>
                <w:sz w:val="20"/>
                <w:szCs w:val="20"/>
              </w:rPr>
              <w:t>2.47</w:t>
            </w:r>
          </w:p>
        </w:tc>
      </w:tr>
    </w:tbl>
    <w:p w14:paraId="40FC4924" w14:textId="77777777" w:rsidR="00531C92" w:rsidRPr="000049AC" w:rsidRDefault="00531C92" w:rsidP="00E65E8C">
      <w:pPr>
        <w:spacing w:after="160" w:line="360" w:lineRule="auto"/>
        <w:jc w:val="both"/>
        <w:rPr>
          <w:rFonts w:cs="Times New Roman"/>
          <w:color w:val="000000" w:themeColor="text1"/>
          <w:szCs w:val="24"/>
        </w:rPr>
      </w:pPr>
    </w:p>
    <w:p w14:paraId="5528D2F5" w14:textId="71F42B75" w:rsidR="00E65E8C" w:rsidRDefault="00531C92" w:rsidP="00BB58CF">
      <w:pPr>
        <w:spacing w:after="160" w:line="360" w:lineRule="auto"/>
        <w:ind w:firstLine="720"/>
        <w:jc w:val="both"/>
      </w:pPr>
      <w:r>
        <w:t xml:space="preserve">Table 3 explains </w:t>
      </w:r>
      <w:r w:rsidR="007D4D80">
        <w:t xml:space="preserve">the </w:t>
      </w:r>
      <w:r w:rsidR="00E65E8C" w:rsidRPr="006C7547">
        <w:t>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</w:t>
      </w:r>
      <w:r w:rsidR="00E65E8C" w:rsidRPr="006C7547">
        <w:lastRenderedPageBreak/>
        <w:t>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</w:t>
      </w:r>
    </w:p>
    <w:p w14:paraId="5F6A98D2" w14:textId="42F03646" w:rsidR="007F1CE1" w:rsidRPr="007F1CE1" w:rsidRDefault="007F1CE1" w:rsidP="007F1CE1">
      <w:pPr>
        <w:pStyle w:val="Heading2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="006904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17758DCD" w14:textId="77777777" w:rsidR="007F1CE1" w:rsidRPr="007F1CE1" w:rsidRDefault="007F1CE1" w:rsidP="007F1CE1">
      <w:pPr>
        <w:rPr>
          <w:rFonts w:eastAsiaTheme="majorEastAsia" w:cs="Times New Roman"/>
          <w:i/>
          <w:iCs/>
          <w:color w:val="000000" w:themeColor="text1"/>
          <w:szCs w:val="24"/>
        </w:rPr>
      </w:pPr>
      <w:r w:rsidRPr="007F1CE1">
        <w:rPr>
          <w:rFonts w:eastAsiaTheme="majorEastAsia" w:cs="Times New Roman"/>
          <w:i/>
          <w:iCs/>
          <w:color w:val="000000" w:themeColor="text1"/>
          <w:szCs w:val="24"/>
        </w:rPr>
        <w:t>The Scholarship Pass Percentage Across the Years from 2020 to 2025</w:t>
      </w:r>
    </w:p>
    <w:p w14:paraId="13CDBF54" w14:textId="77777777" w:rsidR="007F1CE1" w:rsidRDefault="007F1CE1" w:rsidP="007F1CE1">
      <w:r>
        <w:rPr>
          <w:noProof/>
        </w:rPr>
        <w:drawing>
          <wp:inline distT="0" distB="0" distL="0" distR="0" wp14:anchorId="2631102F" wp14:editId="434693B8">
            <wp:extent cx="4572000" cy="2743200"/>
            <wp:effectExtent l="0" t="0" r="0" b="0"/>
            <wp:docPr id="5058315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1DF1BE-C9D3-6B6A-DB0C-7E94E0AC76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0AC7FE" w14:textId="77777777" w:rsidR="006904F5" w:rsidRDefault="006904F5" w:rsidP="00E65E8C">
      <w:pPr>
        <w:spacing w:after="160" w:line="360" w:lineRule="auto"/>
        <w:jc w:val="both"/>
      </w:pPr>
    </w:p>
    <w:p w14:paraId="1A31E08A" w14:textId="108068AD" w:rsidR="00E65E8C" w:rsidRDefault="006904F5" w:rsidP="00BB58CF">
      <w:pPr>
        <w:spacing w:after="160" w:line="360" w:lineRule="auto"/>
        <w:ind w:firstLine="720"/>
        <w:jc w:val="both"/>
      </w:pPr>
      <w:r>
        <w:t xml:space="preserve">In Figure 2, the </w:t>
      </w:r>
      <w:r w:rsidR="00E65E8C" w:rsidRPr="006C7547">
        <w:t>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</w:t>
      </w:r>
      <w:r w:rsidR="00E65E8C" w:rsidRPr="006C7547">
        <w:lastRenderedPageBreak/>
        <w:t>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</w:t>
      </w:r>
      <w:r w:rsidR="007A1F40">
        <w:t xml:space="preserve"> </w:t>
      </w:r>
      <w:r w:rsidR="007A1F40">
        <w:t xml:space="preserve">Digital integration is essential in modern classrooms because </w:t>
      </w:r>
      <w:r w:rsidR="00B5684E">
        <w:t>“</w:t>
      </w:r>
      <w:r w:rsidR="007A1F40">
        <w:t xml:space="preserve">teachers who successfully implement AI </w:t>
      </w:r>
      <w:r w:rsidR="00B5684E">
        <w:t xml:space="preserve">tools’ </w:t>
      </w:r>
      <w:r w:rsidR="007A1F40">
        <w:t>transform the learning experience' by personalising student feedback</w:t>
      </w:r>
      <w:r w:rsidR="00B5684E">
        <w:t>”</w:t>
      </w:r>
      <w:r w:rsidR="007A1F40">
        <w:t xml:space="preserve"> (</w:t>
      </w:r>
      <w:r w:rsidR="00B5684E" w:rsidRPr="007A1F40">
        <w:rPr>
          <w:rFonts w:cs="Times New Roman"/>
        </w:rPr>
        <w:t>Siva</w:t>
      </w:r>
      <w:r w:rsidR="00B5684E">
        <w:rPr>
          <w:rFonts w:cs="Times New Roman"/>
        </w:rPr>
        <w:t>jini</w:t>
      </w:r>
      <w:r w:rsidR="007A1F40">
        <w:t>, 2024, p. 112).</w:t>
      </w:r>
      <w:r w:rsidR="00E65E8C" w:rsidRPr="006C7547">
        <w:t xml:space="preserve">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</w:t>
      </w:r>
      <w:bookmarkStart w:id="1" w:name="_GoBack"/>
      <w:bookmarkEnd w:id="1"/>
      <w:r w:rsidR="00E65E8C" w:rsidRPr="006C7547">
        <w:t>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IRCE 2026 Department of Education</w:t>
      </w:r>
      <w:r w:rsidR="00E65E8C">
        <w:t>, Faculty of Arts,</w:t>
      </w:r>
      <w:r w:rsidR="00E65E8C" w:rsidRPr="006C7547">
        <w:t xml:space="preserve"> and Faculty of Graduate Studies, University of Jaffna, Sri Lanka. </w:t>
      </w:r>
    </w:p>
    <w:p w14:paraId="24D4CEF7" w14:textId="5556D43D" w:rsidR="00B138C7" w:rsidRDefault="00B138C7" w:rsidP="00B138C7">
      <w:pPr>
        <w:spacing w:after="160" w:line="360" w:lineRule="auto"/>
        <w:ind w:firstLine="720"/>
        <w:jc w:val="both"/>
      </w:pPr>
      <w:r>
        <w:t>Digital pedagogy represents a fundamental shift in the traditional classroom dynamic. In his comprehensive analysis,</w:t>
      </w:r>
      <w:r w:rsidR="00B5684E">
        <w:t xml:space="preserve"> </w:t>
      </w:r>
      <w:r w:rsidR="00B5684E" w:rsidRPr="007A1F40">
        <w:rPr>
          <w:rFonts w:cs="Times New Roman"/>
        </w:rPr>
        <w:t>Siva</w:t>
      </w:r>
      <w:r w:rsidR="00B5684E">
        <w:rPr>
          <w:rFonts w:cs="Times New Roman"/>
        </w:rPr>
        <w:t>jini</w:t>
      </w:r>
      <w:r w:rsidR="00B5684E">
        <w:t xml:space="preserve"> </w:t>
      </w:r>
      <w:r>
        <w:t>(2024) observed the following regarding the integration of technology</w:t>
      </w:r>
      <w:r w:rsidR="00A77D3D">
        <w:t>,</w:t>
      </w:r>
    </w:p>
    <w:p w14:paraId="1314B18D" w14:textId="42542485" w:rsidR="00B138C7" w:rsidRDefault="00B138C7" w:rsidP="00B138C7">
      <w:pPr>
        <w:spacing w:after="160" w:line="360" w:lineRule="auto"/>
        <w:ind w:left="720"/>
        <w:jc w:val="both"/>
      </w:pPr>
      <w:r>
        <w:t xml:space="preserve">The adoption of digital tools is not merely </w:t>
      </w:r>
      <w:r w:rsidR="00A77D3D">
        <w:t>additive but transformative</w:t>
      </w:r>
      <w:r>
        <w:t xml:space="preserve">. Teachers who successfully implement AI tools </w:t>
      </w:r>
      <w:r w:rsidR="00A77D3D">
        <w:t>“</w:t>
      </w:r>
      <w:r>
        <w:t>transform the learning experience</w:t>
      </w:r>
      <w:r w:rsidR="00A77D3D">
        <w:t>”</w:t>
      </w:r>
      <w:r>
        <w:t xml:space="preserve"> by personalising student feedback and automating administrative tasks. This shift allows educators to focus on the nuanced socio-emotional needs of their students, thereby fostering a more inclusive environment. (p. 112)</w:t>
      </w:r>
    </w:p>
    <w:p w14:paraId="4291771C" w14:textId="510D2328" w:rsidR="00335083" w:rsidRDefault="00E65E8C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</w:t>
      </w:r>
      <w:r w:rsidRPr="006C7547">
        <w:lastRenderedPageBreak/>
        <w:t>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403989EA" w14:textId="370B357A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  <w:r w:rsidR="003F02F0"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Implications</w:t>
      </w:r>
    </w:p>
    <w:p w14:paraId="4A921775" w14:textId="77777777" w:rsidR="006904F5" w:rsidRDefault="006904F5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0916A25E" w14:textId="77777777" w:rsidR="006904F5" w:rsidRDefault="006904F5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24BBBB4C" w14:textId="77777777" w:rsidR="006904F5" w:rsidRDefault="006904F5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2CA3E093" w14:textId="445FA7F8" w:rsidR="006904F5" w:rsidRDefault="006904F5" w:rsidP="00BB58CF">
      <w:pPr>
        <w:spacing w:after="160" w:line="360" w:lineRule="auto"/>
        <w:ind w:firstLine="720"/>
        <w:jc w:val="both"/>
      </w:pPr>
      <w:r w:rsidRPr="006C7547">
        <w:t>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of Jaffna, Sri Lanka. IRCE 2026 Department of Education</w:t>
      </w:r>
      <w:r>
        <w:t>, Faculty of Arts,</w:t>
      </w:r>
      <w:r w:rsidRPr="006C7547">
        <w:t xml:space="preserve"> and Faculty of Graduate Studies, University </w:t>
      </w:r>
      <w:r w:rsidRPr="006C7547">
        <w:lastRenderedPageBreak/>
        <w:t>of Jaffna, Sri Lanka. IRCE 2026 Department of Education</w:t>
      </w:r>
      <w:r>
        <w:t>, Faculty of Arts,</w:t>
      </w:r>
      <w:r w:rsidRPr="006C7547">
        <w:t xml:space="preserve"> and Faculty of Graduate Studies, University of Jaffna, Sri Lanka. </w:t>
      </w:r>
    </w:p>
    <w:p w14:paraId="78EC8DC6" w14:textId="77777777" w:rsidR="00335083" w:rsidRPr="00182091" w:rsidRDefault="00907636" w:rsidP="00182091">
      <w:pPr>
        <w:pStyle w:val="Heading1"/>
        <w:spacing w:before="0"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091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3267BF85" w14:textId="367E02ED" w:rsidR="00BE74E4" w:rsidRPr="00BE74E4" w:rsidRDefault="00BE74E4" w:rsidP="000B5994">
      <w:pPr>
        <w:pStyle w:val="Bibliography"/>
        <w:spacing w:line="240" w:lineRule="auto"/>
        <w:rPr>
          <w:rFonts w:cs="Times New Roman"/>
        </w:rPr>
      </w:pPr>
      <w:r w:rsidRPr="00BE74E4">
        <w:rPr>
          <w:rFonts w:cs="Times New Roman"/>
        </w:rPr>
        <w:t xml:space="preserve">Adzharuddin, </w:t>
      </w:r>
      <w:r w:rsidR="001B29B2">
        <w:rPr>
          <w:rFonts w:cs="Times New Roman"/>
        </w:rPr>
        <w:t>X</w:t>
      </w:r>
      <w:r w:rsidRPr="00BE74E4">
        <w:rPr>
          <w:rFonts w:cs="Times New Roman"/>
        </w:rPr>
        <w:t xml:space="preserve">. (2013). </w:t>
      </w:r>
      <w:r>
        <w:rPr>
          <w:rFonts w:cs="Times New Roman"/>
        </w:rPr>
        <w:t xml:space="preserve">Education System in Sri Lanka. </w:t>
      </w:r>
      <w:r w:rsidRPr="00BE74E4">
        <w:rPr>
          <w:rFonts w:cs="Times New Roman"/>
          <w:i/>
          <w:iCs/>
        </w:rPr>
        <w:t>International Journal of Education</w:t>
      </w:r>
      <w:r w:rsidR="001B29B2">
        <w:rPr>
          <w:rFonts w:cs="Times New Roman"/>
        </w:rPr>
        <w:t xml:space="preserve">, </w:t>
      </w:r>
      <w:r w:rsidR="001B29B2" w:rsidRPr="00BE74E4">
        <w:rPr>
          <w:rFonts w:cs="Times New Roman"/>
          <w:i/>
          <w:iCs/>
        </w:rPr>
        <w:t>1</w:t>
      </w:r>
      <w:r w:rsidR="001B29B2">
        <w:rPr>
          <w:rFonts w:cs="Times New Roman"/>
          <w:i/>
          <w:iCs/>
        </w:rPr>
        <w:t>8</w:t>
      </w:r>
      <w:r w:rsidR="001B29B2" w:rsidRPr="00BE74E4">
        <w:rPr>
          <w:rFonts w:cs="Times New Roman"/>
        </w:rPr>
        <w:t>(</w:t>
      </w:r>
      <w:r w:rsidR="001B29B2">
        <w:rPr>
          <w:rFonts w:cs="Times New Roman"/>
        </w:rPr>
        <w:t>2</w:t>
      </w:r>
      <w:r w:rsidR="001B29B2" w:rsidRPr="00BE74E4">
        <w:rPr>
          <w:rFonts w:cs="Times New Roman"/>
        </w:rPr>
        <w:t>),</w:t>
      </w:r>
      <w:r w:rsidR="006D48CD">
        <w:rPr>
          <w:rFonts w:cs="Times New Roman"/>
        </w:rPr>
        <w:t xml:space="preserve"> </w:t>
      </w:r>
      <w:r w:rsidR="001B29B2">
        <w:rPr>
          <w:rFonts w:cs="Times New Roman"/>
        </w:rPr>
        <w:t>236</w:t>
      </w:r>
      <w:r w:rsidR="001B29B2" w:rsidRPr="00BE74E4">
        <w:rPr>
          <w:rFonts w:cs="Times New Roman"/>
        </w:rPr>
        <w:t>–</w:t>
      </w:r>
      <w:r w:rsidR="001B29B2">
        <w:rPr>
          <w:rFonts w:cs="Times New Roman"/>
        </w:rPr>
        <w:t>253.</w:t>
      </w:r>
      <w:r w:rsidRPr="00BE74E4">
        <w:rPr>
          <w:rFonts w:cs="Times New Roman"/>
        </w:rPr>
        <w:t xml:space="preserve"> https://doi.org/10.7763/I</w:t>
      </w:r>
      <w:r>
        <w:rPr>
          <w:rFonts w:cs="Times New Roman"/>
        </w:rPr>
        <w:t>J</w:t>
      </w:r>
      <w:r w:rsidR="001B29B2">
        <w:rPr>
          <w:rFonts w:cs="Times New Roman"/>
        </w:rPr>
        <w:t>O</w:t>
      </w:r>
      <w:r>
        <w:rPr>
          <w:rFonts w:cs="Times New Roman"/>
        </w:rPr>
        <w:t>F</w:t>
      </w:r>
      <w:r w:rsidR="001B29B2">
        <w:rPr>
          <w:rFonts w:cs="Times New Roman"/>
        </w:rPr>
        <w:t>E</w:t>
      </w:r>
      <w:r w:rsidRPr="00BE74E4">
        <w:rPr>
          <w:rFonts w:cs="Times New Roman"/>
        </w:rPr>
        <w:t>.2013.V3.233</w:t>
      </w:r>
    </w:p>
    <w:p w14:paraId="512B120E" w14:textId="6122F300" w:rsidR="00BE74E4" w:rsidRPr="00BE74E4" w:rsidRDefault="00BE74E4" w:rsidP="000B5994">
      <w:pPr>
        <w:pStyle w:val="Bibliography"/>
        <w:spacing w:line="240" w:lineRule="auto"/>
        <w:rPr>
          <w:rFonts w:cs="Times New Roman"/>
        </w:rPr>
      </w:pPr>
      <w:r w:rsidRPr="00BE74E4">
        <w:rPr>
          <w:rFonts w:cs="Times New Roman"/>
        </w:rPr>
        <w:t xml:space="preserve">Ahn, </w:t>
      </w:r>
      <w:r w:rsidR="001B29B2">
        <w:rPr>
          <w:rFonts w:cs="Times New Roman"/>
        </w:rPr>
        <w:t>S</w:t>
      </w:r>
      <w:r w:rsidRPr="00BE74E4">
        <w:rPr>
          <w:rFonts w:cs="Times New Roman"/>
        </w:rPr>
        <w:t xml:space="preserve">. S., &amp; Huh, </w:t>
      </w:r>
      <w:r w:rsidR="001B29B2">
        <w:rPr>
          <w:rFonts w:cs="Times New Roman"/>
        </w:rPr>
        <w:t>L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Y</w:t>
      </w:r>
      <w:r w:rsidRPr="00BE74E4">
        <w:rPr>
          <w:rFonts w:cs="Times New Roman"/>
        </w:rPr>
        <w:t xml:space="preserve">. (2023). The Comparison </w:t>
      </w:r>
      <w:r>
        <w:rPr>
          <w:rFonts w:cs="Times New Roman"/>
        </w:rPr>
        <w:t>o</w:t>
      </w:r>
      <w:r w:rsidRPr="00BE74E4">
        <w:rPr>
          <w:rFonts w:cs="Times New Roman"/>
        </w:rPr>
        <w:t xml:space="preserve">f Sri Lanka </w:t>
      </w:r>
      <w:r>
        <w:rPr>
          <w:rFonts w:cs="Times New Roman"/>
        </w:rPr>
        <w:t>a</w:t>
      </w:r>
      <w:r w:rsidRPr="00BE74E4">
        <w:rPr>
          <w:rFonts w:cs="Times New Roman"/>
        </w:rPr>
        <w:t xml:space="preserve">nd </w:t>
      </w:r>
      <w:r>
        <w:rPr>
          <w:rFonts w:cs="Times New Roman"/>
        </w:rPr>
        <w:t>Indian</w:t>
      </w:r>
      <w:r w:rsidRPr="00BE74E4">
        <w:rPr>
          <w:rFonts w:cs="Times New Roman"/>
        </w:rPr>
        <w:t xml:space="preserve"> </w:t>
      </w:r>
      <w:r>
        <w:rPr>
          <w:rFonts w:cs="Times New Roman"/>
        </w:rPr>
        <w:t xml:space="preserve">Non-Formal </w:t>
      </w:r>
      <w:r w:rsidRPr="00BE74E4">
        <w:rPr>
          <w:rFonts w:cs="Times New Roman"/>
        </w:rPr>
        <w:t xml:space="preserve">Education Systems. </w:t>
      </w:r>
      <w:r>
        <w:rPr>
          <w:rFonts w:cs="Times New Roman"/>
          <w:i/>
          <w:iCs/>
        </w:rPr>
        <w:t>Sri Lankan</w:t>
      </w:r>
      <w:r w:rsidRPr="00BE74E4">
        <w:rPr>
          <w:rFonts w:cs="Times New Roman"/>
          <w:i/>
          <w:iCs/>
        </w:rPr>
        <w:t xml:space="preserve"> Journal of Research and Reflection in </w:t>
      </w:r>
      <w:r>
        <w:rPr>
          <w:rFonts w:cs="Times New Roman"/>
          <w:i/>
          <w:iCs/>
        </w:rPr>
        <w:t xml:space="preserve">Social </w:t>
      </w:r>
      <w:r w:rsidRPr="00BE74E4">
        <w:rPr>
          <w:rFonts w:cs="Times New Roman"/>
          <w:i/>
          <w:iCs/>
        </w:rPr>
        <w:t>Sciences</w:t>
      </w:r>
      <w:r w:rsidRPr="00BE74E4">
        <w:rPr>
          <w:rFonts w:cs="Times New Roman"/>
        </w:rPr>
        <w:t xml:space="preserve">, </w:t>
      </w:r>
      <w:r w:rsidRPr="00BE74E4">
        <w:rPr>
          <w:rFonts w:cs="Times New Roman"/>
          <w:i/>
          <w:iCs/>
        </w:rPr>
        <w:t>11</w:t>
      </w:r>
      <w:r w:rsidRPr="00BE74E4">
        <w:rPr>
          <w:rFonts w:cs="Times New Roman"/>
        </w:rPr>
        <w:t>(3),</w:t>
      </w:r>
      <w:r w:rsidR="006D48CD">
        <w:rPr>
          <w:rFonts w:cs="Times New Roman"/>
        </w:rPr>
        <w:t xml:space="preserve"> </w:t>
      </w:r>
      <w:r w:rsidR="001B29B2">
        <w:rPr>
          <w:rFonts w:cs="Times New Roman"/>
        </w:rPr>
        <w:t>11</w:t>
      </w:r>
      <w:r w:rsidR="001B29B2" w:rsidRPr="00BE74E4">
        <w:rPr>
          <w:rFonts w:cs="Times New Roman"/>
        </w:rPr>
        <w:t>1–</w:t>
      </w:r>
      <w:r w:rsidR="001B29B2">
        <w:rPr>
          <w:rFonts w:cs="Times New Roman"/>
        </w:rPr>
        <w:t>123.</w:t>
      </w:r>
    </w:p>
    <w:p w14:paraId="7C607A86" w14:textId="41AB49DA" w:rsidR="00BE74E4" w:rsidRPr="00BE74E4" w:rsidRDefault="00BE74E4" w:rsidP="000B5994">
      <w:pPr>
        <w:pStyle w:val="Bibliography"/>
        <w:spacing w:line="240" w:lineRule="auto"/>
        <w:rPr>
          <w:rFonts w:cs="Times New Roman"/>
        </w:rPr>
      </w:pPr>
      <w:r w:rsidRPr="00BE74E4">
        <w:rPr>
          <w:rFonts w:cs="Times New Roman"/>
        </w:rPr>
        <w:t xml:space="preserve">Harisanty, </w:t>
      </w:r>
      <w:r w:rsidR="001B29B2">
        <w:rPr>
          <w:rFonts w:cs="Times New Roman"/>
        </w:rPr>
        <w:t>P</w:t>
      </w:r>
      <w:r w:rsidRPr="00BE74E4">
        <w:rPr>
          <w:rFonts w:cs="Times New Roman"/>
        </w:rPr>
        <w:t xml:space="preserve">., Anna, </w:t>
      </w:r>
      <w:r w:rsidR="001B29B2">
        <w:rPr>
          <w:rFonts w:cs="Times New Roman"/>
        </w:rPr>
        <w:t>M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U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N</w:t>
      </w:r>
      <w:r w:rsidRPr="00BE74E4">
        <w:rPr>
          <w:rFonts w:cs="Times New Roman"/>
        </w:rPr>
        <w:t xml:space="preserve">., Putri, </w:t>
      </w:r>
      <w:r w:rsidR="001B29B2">
        <w:rPr>
          <w:rFonts w:cs="Times New Roman"/>
        </w:rPr>
        <w:t>M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T</w:t>
      </w:r>
      <w:r w:rsidRPr="00BE74E4">
        <w:rPr>
          <w:rFonts w:cs="Times New Roman"/>
        </w:rPr>
        <w:t xml:space="preserve">., Firdaus, </w:t>
      </w:r>
      <w:r w:rsidR="001B29B2">
        <w:rPr>
          <w:rFonts w:cs="Times New Roman"/>
        </w:rPr>
        <w:t>X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Z</w:t>
      </w:r>
      <w:r w:rsidRPr="00BE74E4">
        <w:rPr>
          <w:rFonts w:cs="Times New Roman"/>
        </w:rPr>
        <w:t xml:space="preserve">., &amp; Noor Azizi, </w:t>
      </w:r>
      <w:r w:rsidR="001B29B2">
        <w:rPr>
          <w:rFonts w:cs="Times New Roman"/>
        </w:rPr>
        <w:t>M</w:t>
      </w:r>
      <w:r w:rsidRPr="00BE74E4">
        <w:rPr>
          <w:rFonts w:cs="Times New Roman"/>
        </w:rPr>
        <w:t xml:space="preserve">. </w:t>
      </w:r>
      <w:r w:rsidR="001B29B2">
        <w:rPr>
          <w:rFonts w:cs="Times New Roman"/>
        </w:rPr>
        <w:t>U</w:t>
      </w:r>
      <w:r w:rsidRPr="00BE74E4">
        <w:rPr>
          <w:rFonts w:cs="Times New Roman"/>
        </w:rPr>
        <w:t xml:space="preserve">. (2025). A </w:t>
      </w:r>
      <w:r w:rsidR="001B29B2">
        <w:rPr>
          <w:rFonts w:cs="Times New Roman"/>
        </w:rPr>
        <w:t>Systematic</w:t>
      </w:r>
      <w:r w:rsidRPr="00BE74E4">
        <w:rPr>
          <w:rFonts w:cs="Times New Roman"/>
        </w:rPr>
        <w:t xml:space="preserve"> </w:t>
      </w:r>
      <w:r w:rsidR="001B29B2" w:rsidRPr="00BE74E4">
        <w:rPr>
          <w:rFonts w:cs="Times New Roman"/>
        </w:rPr>
        <w:t>Literature Review</w:t>
      </w:r>
      <w:r w:rsidR="001B29B2">
        <w:rPr>
          <w:rFonts w:cs="Times New Roman"/>
        </w:rPr>
        <w:t xml:space="preserve"> of Sri Lankan Education</w:t>
      </w:r>
      <w:r w:rsidRPr="00BE74E4">
        <w:rPr>
          <w:rFonts w:cs="Times New Roman"/>
        </w:rPr>
        <w:t xml:space="preserve">. </w:t>
      </w:r>
      <w:r w:rsidRPr="00BE74E4">
        <w:rPr>
          <w:rFonts w:cs="Times New Roman"/>
          <w:i/>
          <w:iCs/>
        </w:rPr>
        <w:t xml:space="preserve">Journal of </w:t>
      </w:r>
      <w:r w:rsidR="001B29B2">
        <w:rPr>
          <w:rFonts w:cs="Times New Roman"/>
          <w:i/>
          <w:iCs/>
        </w:rPr>
        <w:t xml:space="preserve">Sri Lankan </w:t>
      </w:r>
      <w:r w:rsidRPr="00BE74E4">
        <w:rPr>
          <w:rFonts w:cs="Times New Roman"/>
          <w:i/>
          <w:iCs/>
        </w:rPr>
        <w:t>Science</w:t>
      </w:r>
      <w:r w:rsidR="001B29B2">
        <w:rPr>
          <w:rFonts w:cs="Times New Roman"/>
          <w:i/>
          <w:iCs/>
        </w:rPr>
        <w:t xml:space="preserve"> Education</w:t>
      </w:r>
      <w:r w:rsidRPr="00BE74E4">
        <w:rPr>
          <w:rFonts w:cs="Times New Roman"/>
        </w:rPr>
        <w:t xml:space="preserve">, </w:t>
      </w:r>
      <w:r w:rsidRPr="00BE74E4">
        <w:rPr>
          <w:rFonts w:cs="Times New Roman"/>
          <w:i/>
          <w:iCs/>
        </w:rPr>
        <w:t>51</w:t>
      </w:r>
      <w:r w:rsidRPr="00BE74E4">
        <w:rPr>
          <w:rFonts w:cs="Times New Roman"/>
        </w:rPr>
        <w:t xml:space="preserve">(2), </w:t>
      </w:r>
      <w:r w:rsidR="001B29B2">
        <w:rPr>
          <w:rFonts w:cs="Times New Roman"/>
        </w:rPr>
        <w:t>3</w:t>
      </w:r>
      <w:r w:rsidRPr="00BE74E4">
        <w:rPr>
          <w:rFonts w:cs="Times New Roman"/>
        </w:rPr>
        <w:t>11–</w:t>
      </w:r>
      <w:r w:rsidR="001B29B2">
        <w:rPr>
          <w:rFonts w:cs="Times New Roman"/>
        </w:rPr>
        <w:t>3</w:t>
      </w:r>
      <w:r w:rsidRPr="00BE74E4">
        <w:rPr>
          <w:rFonts w:cs="Times New Roman"/>
        </w:rPr>
        <w:t>22. https://doi.org/10.1</w:t>
      </w:r>
      <w:r w:rsidR="001B29B2">
        <w:rPr>
          <w:rFonts w:cs="Times New Roman"/>
        </w:rPr>
        <w:t>34</w:t>
      </w:r>
      <w:r w:rsidRPr="00BE74E4">
        <w:rPr>
          <w:rFonts w:cs="Times New Roman"/>
        </w:rPr>
        <w:t>7/016</w:t>
      </w:r>
      <w:r w:rsidR="001B29B2">
        <w:rPr>
          <w:rFonts w:cs="Times New Roman"/>
        </w:rPr>
        <w:t>123</w:t>
      </w:r>
      <w:r w:rsidRPr="00BE74E4">
        <w:rPr>
          <w:rFonts w:cs="Times New Roman"/>
        </w:rPr>
        <w:t>15221141034</w:t>
      </w:r>
    </w:p>
    <w:p w14:paraId="138ACCF0" w14:textId="248C34AE" w:rsidR="003F02F0" w:rsidRPr="007A1F40" w:rsidRDefault="007A1F40" w:rsidP="007A1F40">
      <w:pPr>
        <w:pStyle w:val="Bibliography"/>
        <w:spacing w:line="240" w:lineRule="auto"/>
        <w:rPr>
          <w:rFonts w:cs="Times New Roman"/>
        </w:rPr>
      </w:pPr>
      <w:r w:rsidRPr="007A1F40">
        <w:rPr>
          <w:rFonts w:cs="Times New Roman"/>
        </w:rPr>
        <w:t>Siva</w:t>
      </w:r>
      <w:r w:rsidR="00B5684E">
        <w:rPr>
          <w:rFonts w:cs="Times New Roman"/>
        </w:rPr>
        <w:t>jini</w:t>
      </w:r>
      <w:r w:rsidRPr="007A1F40">
        <w:rPr>
          <w:rFonts w:cs="Times New Roman"/>
        </w:rPr>
        <w:t xml:space="preserve">, A. B. (2024). </w:t>
      </w:r>
      <w:r w:rsidRPr="007A1F40">
        <w:rPr>
          <w:rFonts w:cs="Times New Roman"/>
          <w:i/>
        </w:rPr>
        <w:t>Digital pedagogy: Transforming education through technology</w:t>
      </w:r>
      <w:r w:rsidRPr="007A1F40">
        <w:rPr>
          <w:rFonts w:cs="Times New Roman"/>
        </w:rPr>
        <w:t>. University of Jaffna Press.</w:t>
      </w:r>
    </w:p>
    <w:sectPr w:rsidR="003F02F0" w:rsidRPr="007A1F40" w:rsidSect="00B16063">
      <w:footerReference w:type="default" r:id="rId11"/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6F8E" w14:textId="77777777" w:rsidR="00634EF5" w:rsidRDefault="00634EF5" w:rsidP="00C77C1B">
      <w:pPr>
        <w:spacing w:after="0" w:line="240" w:lineRule="auto"/>
      </w:pPr>
      <w:r>
        <w:separator/>
      </w:r>
    </w:p>
  </w:endnote>
  <w:endnote w:type="continuationSeparator" w:id="0">
    <w:p w14:paraId="2098DA29" w14:textId="77777777" w:rsidR="00634EF5" w:rsidRDefault="00634EF5" w:rsidP="00C7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82E1" w14:textId="60F1B337" w:rsidR="00907636" w:rsidRDefault="00907636" w:rsidP="00F66B1B">
    <w:pPr>
      <w:pStyle w:val="Footer"/>
      <w:jc w:val="both"/>
      <w:rPr>
        <w:rStyle w:val="citation-191"/>
      </w:rPr>
    </w:pPr>
    <w:r w:rsidRPr="00F66B1B">
      <w:rPr>
        <w:b/>
      </w:rPr>
      <w:t>*</w:t>
    </w:r>
    <w:r w:rsidRPr="00F66B1B">
      <w:t>email@univ.jfn.ac.lk</w:t>
    </w:r>
  </w:p>
  <w:p w14:paraId="72D80DEC" w14:textId="77777777" w:rsidR="00907636" w:rsidRDefault="00907636" w:rsidP="00F66B1B">
    <w:pPr>
      <w:spacing w:after="0" w:line="240" w:lineRule="auto"/>
      <w:jc w:val="both"/>
    </w:pPr>
    <w:r w:rsidRPr="00032B82">
      <w:t xml:space="preserve">K. </w:t>
    </w:r>
    <w:r>
      <w:t>Kumaran</w:t>
    </w:r>
    <w:r w:rsidRPr="00032B82">
      <w:t xml:space="preserve">: </w:t>
    </w:r>
    <w:r w:rsidRPr="00B32BC7">
      <w:t>https://orcid.org/0000-0001-XXXX-XXXX</w:t>
    </w:r>
  </w:p>
  <w:p w14:paraId="7B297F6A" w14:textId="1165ABBE" w:rsidR="00907636" w:rsidRDefault="00907636" w:rsidP="00F66B1B">
    <w:pPr>
      <w:spacing w:after="0" w:line="240" w:lineRule="auto"/>
      <w:jc w:val="both"/>
    </w:pPr>
    <w:r>
      <w:t xml:space="preserve">A. B. Perera: </w:t>
    </w:r>
    <w:r w:rsidRPr="00F66B1B">
      <w:t>https://orcid.org/0000-0002-XXXX-XXXX</w:t>
    </w:r>
  </w:p>
  <w:p w14:paraId="5F3312FB" w14:textId="0C6AE03F" w:rsidR="00907636" w:rsidRDefault="00907636" w:rsidP="00F66B1B">
    <w:pPr>
      <w:spacing w:after="0" w:line="240" w:lineRule="auto"/>
      <w:jc w:val="both"/>
    </w:pPr>
    <w:r>
      <w:t xml:space="preserve">M. L. N. Charles: </w:t>
    </w:r>
    <w:r w:rsidRPr="00B32BC7">
      <w:t>https://orcid.org/0000-0003-XXXX-XXXX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721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3313" w14:textId="20B8888C" w:rsidR="005908EB" w:rsidRDefault="00590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A3345" w14:textId="18DDD98D" w:rsidR="000049AC" w:rsidRPr="000049AC" w:rsidRDefault="000049AC" w:rsidP="0000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D25D" w14:textId="77777777" w:rsidR="00634EF5" w:rsidRDefault="00634EF5" w:rsidP="00C77C1B">
      <w:pPr>
        <w:spacing w:after="0" w:line="240" w:lineRule="auto"/>
      </w:pPr>
      <w:r>
        <w:separator/>
      </w:r>
    </w:p>
  </w:footnote>
  <w:footnote w:type="continuationSeparator" w:id="0">
    <w:p w14:paraId="099D91A3" w14:textId="77777777" w:rsidR="00634EF5" w:rsidRDefault="00634EF5" w:rsidP="00C7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E132A"/>
    <w:multiLevelType w:val="hybridMultilevel"/>
    <w:tmpl w:val="D6B69CE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2B0"/>
    <w:multiLevelType w:val="hybridMultilevel"/>
    <w:tmpl w:val="D6B69CE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AC"/>
    <w:rsid w:val="00034616"/>
    <w:rsid w:val="0006063C"/>
    <w:rsid w:val="000B5994"/>
    <w:rsid w:val="000D2292"/>
    <w:rsid w:val="00126483"/>
    <w:rsid w:val="0015074B"/>
    <w:rsid w:val="00182091"/>
    <w:rsid w:val="00183432"/>
    <w:rsid w:val="00195B25"/>
    <w:rsid w:val="001A44C0"/>
    <w:rsid w:val="001B29B2"/>
    <w:rsid w:val="0027522E"/>
    <w:rsid w:val="00294FF0"/>
    <w:rsid w:val="0029639D"/>
    <w:rsid w:val="00326F90"/>
    <w:rsid w:val="00335083"/>
    <w:rsid w:val="00351581"/>
    <w:rsid w:val="003D17EC"/>
    <w:rsid w:val="003F02F0"/>
    <w:rsid w:val="00531C92"/>
    <w:rsid w:val="00586825"/>
    <w:rsid w:val="005908EB"/>
    <w:rsid w:val="00605AFF"/>
    <w:rsid w:val="00620727"/>
    <w:rsid w:val="00634EF5"/>
    <w:rsid w:val="006904F5"/>
    <w:rsid w:val="006C2284"/>
    <w:rsid w:val="006C7547"/>
    <w:rsid w:val="006D48CD"/>
    <w:rsid w:val="006E1D18"/>
    <w:rsid w:val="007A1F40"/>
    <w:rsid w:val="007D079E"/>
    <w:rsid w:val="007D4D80"/>
    <w:rsid w:val="007F1CE1"/>
    <w:rsid w:val="008323DD"/>
    <w:rsid w:val="00891B43"/>
    <w:rsid w:val="00907636"/>
    <w:rsid w:val="00952DCD"/>
    <w:rsid w:val="009749E0"/>
    <w:rsid w:val="00A60A36"/>
    <w:rsid w:val="00A77D3D"/>
    <w:rsid w:val="00A90FCA"/>
    <w:rsid w:val="00A962DB"/>
    <w:rsid w:val="00AA1D8D"/>
    <w:rsid w:val="00AF7964"/>
    <w:rsid w:val="00B138C7"/>
    <w:rsid w:val="00B16063"/>
    <w:rsid w:val="00B2512D"/>
    <w:rsid w:val="00B47730"/>
    <w:rsid w:val="00B5684E"/>
    <w:rsid w:val="00BB58CF"/>
    <w:rsid w:val="00BE74E4"/>
    <w:rsid w:val="00C01C94"/>
    <w:rsid w:val="00C455DD"/>
    <w:rsid w:val="00C470A7"/>
    <w:rsid w:val="00C77C1B"/>
    <w:rsid w:val="00CB0664"/>
    <w:rsid w:val="00E65E8C"/>
    <w:rsid w:val="00ED1606"/>
    <w:rsid w:val="00F14C55"/>
    <w:rsid w:val="00F66B1B"/>
    <w:rsid w:val="00FC693F"/>
    <w:rsid w:val="00FE5B39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73853"/>
  <w14:defaultImageDpi w14:val="300"/>
  <w15:docId w15:val="{78047F64-56C7-452E-BC0E-AB69132E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54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itation-191">
    <w:name w:val="citation-191"/>
    <w:basedOn w:val="DefaultParagraphFont"/>
    <w:rsid w:val="00F66B1B"/>
  </w:style>
  <w:style w:type="character" w:styleId="Hyperlink">
    <w:name w:val="Hyperlink"/>
    <w:basedOn w:val="DefaultParagraphFont"/>
    <w:uiPriority w:val="99"/>
    <w:unhideWhenUsed/>
    <w:rsid w:val="00F66B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B1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E74E4"/>
    <w:pPr>
      <w:spacing w:after="0" w:line="48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38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Grade 12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Sheet1!$B$9:$E$10</c:f>
              <c:multiLvlStrCache>
                <c:ptCount val="4"/>
                <c:lvl>
                  <c:pt idx="0">
                    <c:v>Male</c:v>
                  </c:pt>
                  <c:pt idx="1">
                    <c:v>Female</c:v>
                  </c:pt>
                  <c:pt idx="2">
                    <c:v>Male</c:v>
                  </c:pt>
                  <c:pt idx="3">
                    <c:v>Female</c:v>
                  </c:pt>
                </c:lvl>
                <c:lvl>
                  <c:pt idx="0">
                    <c:v>Bio Science</c:v>
                  </c:pt>
                  <c:pt idx="2">
                    <c:v>Physical Science</c:v>
                  </c:pt>
                </c:lvl>
              </c:multiLvlStrCache>
              <c:extLst/>
            </c:multiLvlStrRef>
          </c:cat>
          <c:val>
            <c:numRef>
              <c:f>Sheet1!$C$11:$E$11</c:f>
              <c:numCache>
                <c:formatCode>General</c:formatCode>
                <c:ptCount val="3"/>
                <c:pt idx="0">
                  <c:v>20</c:v>
                </c:pt>
                <c:pt idx="1">
                  <c:v>25</c:v>
                </c:pt>
                <c:pt idx="2">
                  <c:v>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1E-4A52-AF7D-49DC35D88BB7}"/>
            </c:ext>
          </c:extLst>
        </c:ser>
        <c:ser>
          <c:idx val="1"/>
          <c:order val="1"/>
          <c:tx>
            <c:v>Grade 13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Sheet1!$B$9:$E$10</c:f>
              <c:multiLvlStrCache>
                <c:ptCount val="4"/>
                <c:lvl>
                  <c:pt idx="0">
                    <c:v>Male</c:v>
                  </c:pt>
                  <c:pt idx="1">
                    <c:v>Female</c:v>
                  </c:pt>
                  <c:pt idx="2">
                    <c:v>Male</c:v>
                  </c:pt>
                  <c:pt idx="3">
                    <c:v>Female</c:v>
                  </c:pt>
                </c:lvl>
                <c:lvl>
                  <c:pt idx="0">
                    <c:v>Bio Science</c:v>
                  </c:pt>
                  <c:pt idx="2">
                    <c:v>Physical Science</c:v>
                  </c:pt>
                </c:lvl>
              </c:multiLvlStrCache>
              <c:extLst/>
            </c:multiLvlStrRef>
          </c:cat>
          <c:val>
            <c:numRef>
              <c:f>Sheet1!$B$12:$E$12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30</c:v>
                </c:pt>
                <c:pt idx="3">
                  <c:v>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1E-4A52-AF7D-49DC35D88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496068607"/>
        <c:axId val="1496077727"/>
      </c:barChart>
      <c:catAx>
        <c:axId val="14960686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Gender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077727"/>
        <c:crosses val="autoZero"/>
        <c:auto val="1"/>
        <c:lblAlgn val="ctr"/>
        <c:lblOffset val="100"/>
        <c:noMultiLvlLbl val="0"/>
      </c:catAx>
      <c:valAx>
        <c:axId val="149607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068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Pass Percentage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64.5</c:v>
                </c:pt>
                <c:pt idx="1">
                  <c:v>72.099999999999994</c:v>
                </c:pt>
                <c:pt idx="2">
                  <c:v>70.3</c:v>
                </c:pt>
                <c:pt idx="3">
                  <c:v>77.5</c:v>
                </c:pt>
                <c:pt idx="4">
                  <c:v>78</c:v>
                </c:pt>
                <c:pt idx="5">
                  <c:v>78.400000000000006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C5-4C60-A533-2EC1A101B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6062367"/>
        <c:axId val="1496051807"/>
      </c:lineChart>
      <c:catAx>
        <c:axId val="149606236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051807"/>
        <c:crosses val="autoZero"/>
        <c:auto val="1"/>
        <c:lblAlgn val="ctr"/>
        <c:lblOffset val="100"/>
        <c:noMultiLvlLbl val="0"/>
      </c:catAx>
      <c:valAx>
        <c:axId val="149605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Pass 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062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BA0475-70C7-4238-A383-E7F7F91B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43</cp:revision>
  <dcterms:created xsi:type="dcterms:W3CDTF">2026-01-15T18:18:00Z</dcterms:created>
  <dcterms:modified xsi:type="dcterms:W3CDTF">2026-02-04T18:01:00Z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b38a71e7-7418-48ae-824b-ab6143adca60</vt:lpwstr>
  </property>
  <property fmtid="{D5CDD505-2E9C-101B-9397-08002B2CF9AE}" pid="3" name="ZOTERO_PREF_1">
    <vt:lpwstr>&lt;data data-version="3" zotero-version="7.0.32"&gt;&lt;session id="jaER39Ds"/&gt;&lt;style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